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886C" w14:textId="14621BC8" w:rsidR="005B705D" w:rsidRDefault="00000000">
      <w:pPr>
        <w:rPr>
          <w:b/>
        </w:rPr>
      </w:pPr>
      <w:r>
        <w:rPr>
          <w:b/>
        </w:rPr>
        <w:t xml:space="preserve">Applications are to be received by </w:t>
      </w:r>
      <w:r>
        <w:rPr>
          <w:b/>
          <w:u w:val="single"/>
        </w:rPr>
        <w:t xml:space="preserve">4:30pm on November </w:t>
      </w:r>
      <w:r w:rsidR="00201B49">
        <w:rPr>
          <w:b/>
          <w:u w:val="single"/>
        </w:rPr>
        <w:t>5</w:t>
      </w:r>
      <w:r>
        <w:rPr>
          <w:b/>
          <w:u w:val="single"/>
          <w:vertAlign w:val="superscript"/>
        </w:rPr>
        <w:t>th</w:t>
      </w:r>
      <w:r>
        <w:rPr>
          <w:b/>
          <w:u w:val="single"/>
        </w:rPr>
        <w:t>, 2025.</w:t>
      </w:r>
    </w:p>
    <w:tbl>
      <w:tblPr>
        <w:tblStyle w:val="a"/>
        <w:tblW w:w="950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3189"/>
        <w:gridCol w:w="1595"/>
        <w:gridCol w:w="1812"/>
        <w:gridCol w:w="2911"/>
      </w:tblGrid>
      <w:tr w:rsidR="005B705D" w14:paraId="72310E21" w14:textId="77777777">
        <w:tc>
          <w:tcPr>
            <w:tcW w:w="3189" w:type="dxa"/>
          </w:tcPr>
          <w:p w14:paraId="10FF5919" w14:textId="77777777" w:rsidR="005B705D" w:rsidRDefault="00000000">
            <w:pPr>
              <w:rPr>
                <w:b/>
              </w:rPr>
            </w:pPr>
            <w:r>
              <w:rPr>
                <w:b/>
              </w:rPr>
              <w:t>Classification:</w:t>
            </w:r>
          </w:p>
        </w:tc>
        <w:tc>
          <w:tcPr>
            <w:tcW w:w="1595" w:type="dxa"/>
          </w:tcPr>
          <w:p w14:paraId="2F09E0F6" w14:textId="77777777" w:rsidR="005B705D" w:rsidRDefault="00000000">
            <w:r>
              <w:t>Research Assistant III</w:t>
            </w:r>
          </w:p>
        </w:tc>
        <w:tc>
          <w:tcPr>
            <w:tcW w:w="1812" w:type="dxa"/>
          </w:tcPr>
          <w:p w14:paraId="2907FEC8" w14:textId="77777777" w:rsidR="005B705D" w:rsidRDefault="00000000">
            <w:pPr>
              <w:rPr>
                <w:b/>
              </w:rPr>
            </w:pPr>
            <w:r>
              <w:rPr>
                <w:b/>
              </w:rPr>
              <w:t>Employee Group:</w:t>
            </w:r>
          </w:p>
        </w:tc>
        <w:tc>
          <w:tcPr>
            <w:tcW w:w="2911" w:type="dxa"/>
          </w:tcPr>
          <w:p w14:paraId="32C60816" w14:textId="77777777" w:rsidR="005B705D" w:rsidRDefault="00000000">
            <w:r>
              <w:t>Manitoba Rural Learning Consortium (mRLC) / Brandon University’s Centre for Applied Research and Education in Indigenous, Rural, and Remote Settings (BU CARES)</w:t>
            </w:r>
          </w:p>
        </w:tc>
      </w:tr>
      <w:tr w:rsidR="005B705D" w14:paraId="13182168" w14:textId="77777777">
        <w:tc>
          <w:tcPr>
            <w:tcW w:w="3189" w:type="dxa"/>
          </w:tcPr>
          <w:p w14:paraId="5EF7F588" w14:textId="77777777" w:rsidR="005B705D" w:rsidRDefault="00000000">
            <w:pPr>
              <w:rPr>
                <w:b/>
              </w:rPr>
            </w:pPr>
            <w:r>
              <w:rPr>
                <w:b/>
              </w:rPr>
              <w:t>Job Title:</w:t>
            </w:r>
          </w:p>
        </w:tc>
        <w:tc>
          <w:tcPr>
            <w:tcW w:w="1595" w:type="dxa"/>
          </w:tcPr>
          <w:p w14:paraId="699351D3" w14:textId="77777777" w:rsidR="005B705D" w:rsidRDefault="00000000">
            <w:r>
              <w:t>Research Assistant</w:t>
            </w:r>
          </w:p>
          <w:p w14:paraId="53B6E950" w14:textId="77777777" w:rsidR="005B705D" w:rsidRDefault="005B705D"/>
        </w:tc>
        <w:tc>
          <w:tcPr>
            <w:tcW w:w="1812" w:type="dxa"/>
          </w:tcPr>
          <w:p w14:paraId="2B217DDA" w14:textId="77777777" w:rsidR="005B705D" w:rsidRDefault="00000000">
            <w:pPr>
              <w:rPr>
                <w:b/>
              </w:rPr>
            </w:pPr>
            <w:r>
              <w:rPr>
                <w:b/>
              </w:rPr>
              <w:t>Department:</w:t>
            </w:r>
          </w:p>
        </w:tc>
        <w:tc>
          <w:tcPr>
            <w:tcW w:w="2911" w:type="dxa"/>
          </w:tcPr>
          <w:p w14:paraId="3EE5DB3A" w14:textId="77777777" w:rsidR="005B705D" w:rsidRDefault="00000000">
            <w:r>
              <w:t>Education</w:t>
            </w:r>
          </w:p>
        </w:tc>
      </w:tr>
      <w:tr w:rsidR="005B705D" w14:paraId="5462EF72" w14:textId="77777777">
        <w:tc>
          <w:tcPr>
            <w:tcW w:w="3189" w:type="dxa"/>
          </w:tcPr>
          <w:p w14:paraId="1FC64463" w14:textId="77777777" w:rsidR="005B705D" w:rsidRDefault="00000000">
            <w:pPr>
              <w:rPr>
                <w:b/>
              </w:rPr>
            </w:pPr>
            <w:r>
              <w:rPr>
                <w:b/>
              </w:rPr>
              <w:t>Contract:</w:t>
            </w:r>
          </w:p>
        </w:tc>
        <w:tc>
          <w:tcPr>
            <w:tcW w:w="1595" w:type="dxa"/>
          </w:tcPr>
          <w:p w14:paraId="143A46E2" w14:textId="77777777" w:rsidR="005B705D" w:rsidRDefault="00000000">
            <w:r>
              <w:t>$26.10/hour</w:t>
            </w:r>
          </w:p>
        </w:tc>
        <w:tc>
          <w:tcPr>
            <w:tcW w:w="1812" w:type="dxa"/>
          </w:tcPr>
          <w:p w14:paraId="1ABE196E" w14:textId="77777777" w:rsidR="005B705D" w:rsidRDefault="00000000">
            <w:pPr>
              <w:rPr>
                <w:b/>
              </w:rPr>
            </w:pPr>
            <w:r>
              <w:rPr>
                <w:b/>
              </w:rPr>
              <w:t>Hours of Work:</w:t>
            </w:r>
          </w:p>
        </w:tc>
        <w:tc>
          <w:tcPr>
            <w:tcW w:w="2911" w:type="dxa"/>
          </w:tcPr>
          <w:p w14:paraId="09E255D3" w14:textId="77777777" w:rsidR="005B705D" w:rsidRDefault="00000000">
            <w:r>
              <w:t>60 hours over a 6-week period.</w:t>
            </w:r>
          </w:p>
          <w:p w14:paraId="4B03305B" w14:textId="77777777" w:rsidR="005B705D" w:rsidRDefault="005B705D"/>
        </w:tc>
      </w:tr>
      <w:tr w:rsidR="005B705D" w14:paraId="0182E02A" w14:textId="77777777">
        <w:tc>
          <w:tcPr>
            <w:tcW w:w="3189" w:type="dxa"/>
          </w:tcPr>
          <w:p w14:paraId="7288C0D4" w14:textId="77777777" w:rsidR="005B705D" w:rsidRDefault="00000000">
            <w:pPr>
              <w:rPr>
                <w:b/>
              </w:rPr>
            </w:pPr>
            <w:r>
              <w:rPr>
                <w:b/>
              </w:rPr>
              <w:t>Start Date:</w:t>
            </w:r>
          </w:p>
        </w:tc>
        <w:tc>
          <w:tcPr>
            <w:tcW w:w="1595" w:type="dxa"/>
          </w:tcPr>
          <w:p w14:paraId="035A6BBF" w14:textId="436DE896" w:rsidR="005B705D" w:rsidRDefault="00000000">
            <w:r>
              <w:t>Nov 1</w:t>
            </w:r>
            <w:r w:rsidR="00201B49">
              <w:t>0</w:t>
            </w:r>
            <w:r>
              <w:rPr>
                <w:vertAlign w:val="superscript"/>
              </w:rPr>
              <w:t>th</w:t>
            </w:r>
            <w:r>
              <w:t>, 2025</w:t>
            </w:r>
          </w:p>
        </w:tc>
        <w:tc>
          <w:tcPr>
            <w:tcW w:w="1812" w:type="dxa"/>
          </w:tcPr>
          <w:p w14:paraId="3EE43310" w14:textId="77777777" w:rsidR="005B705D" w:rsidRDefault="00000000">
            <w:pPr>
              <w:rPr>
                <w:b/>
              </w:rPr>
            </w:pPr>
            <w:r>
              <w:rPr>
                <w:b/>
              </w:rPr>
              <w:t>Number of Positions Available:</w:t>
            </w:r>
          </w:p>
          <w:p w14:paraId="5387BAE3" w14:textId="77777777" w:rsidR="005B705D" w:rsidRDefault="005B705D">
            <w:pPr>
              <w:rPr>
                <w:b/>
              </w:rPr>
            </w:pPr>
          </w:p>
        </w:tc>
        <w:tc>
          <w:tcPr>
            <w:tcW w:w="2911" w:type="dxa"/>
          </w:tcPr>
          <w:p w14:paraId="19197AA6" w14:textId="77777777" w:rsidR="005B705D" w:rsidRDefault="00000000">
            <w:r>
              <w:t>1 (One)</w:t>
            </w:r>
          </w:p>
        </w:tc>
      </w:tr>
      <w:tr w:rsidR="005B705D" w14:paraId="33385359" w14:textId="77777777">
        <w:tc>
          <w:tcPr>
            <w:tcW w:w="3189" w:type="dxa"/>
          </w:tcPr>
          <w:p w14:paraId="14DE6508" w14:textId="77777777" w:rsidR="005B705D" w:rsidRDefault="00000000">
            <w:pPr>
              <w:rPr>
                <w:b/>
              </w:rPr>
            </w:pPr>
            <w:r>
              <w:rPr>
                <w:b/>
              </w:rPr>
              <w:t xml:space="preserve">Length of </w:t>
            </w:r>
          </w:p>
          <w:p w14:paraId="32D6991C" w14:textId="77777777" w:rsidR="005B705D" w:rsidRDefault="00000000">
            <w:pPr>
              <w:rPr>
                <w:b/>
              </w:rPr>
            </w:pPr>
            <w:r>
              <w:rPr>
                <w:b/>
              </w:rPr>
              <w:t>Appointment:</w:t>
            </w:r>
          </w:p>
          <w:p w14:paraId="6DBC84CC" w14:textId="77777777" w:rsidR="005B705D" w:rsidRDefault="00000000">
            <w:pPr>
              <w:rPr>
                <w:b/>
              </w:rPr>
            </w:pPr>
            <w:r>
              <w:rPr>
                <w:b/>
                <w:sz w:val="20"/>
                <w:szCs w:val="20"/>
              </w:rPr>
              <w:t>(end date</w:t>
            </w:r>
            <w:r>
              <w:rPr>
                <w:b/>
              </w:rPr>
              <w:t>)</w:t>
            </w:r>
          </w:p>
          <w:p w14:paraId="743F8273" w14:textId="77777777" w:rsidR="005B705D" w:rsidRDefault="005B705D">
            <w:pPr>
              <w:rPr>
                <w:b/>
              </w:rPr>
            </w:pPr>
          </w:p>
        </w:tc>
        <w:tc>
          <w:tcPr>
            <w:tcW w:w="1595" w:type="dxa"/>
          </w:tcPr>
          <w:p w14:paraId="437C736F" w14:textId="77777777" w:rsidR="005B705D" w:rsidRDefault="00000000">
            <w:r>
              <w:t>Dec 20</w:t>
            </w:r>
            <w:r>
              <w:rPr>
                <w:vertAlign w:val="superscript"/>
              </w:rPr>
              <w:t>th</w:t>
            </w:r>
            <w:r>
              <w:t>, 2025</w:t>
            </w:r>
          </w:p>
          <w:p w14:paraId="18653455" w14:textId="77777777" w:rsidR="005B705D" w:rsidRDefault="005B705D"/>
        </w:tc>
        <w:tc>
          <w:tcPr>
            <w:tcW w:w="1812" w:type="dxa"/>
          </w:tcPr>
          <w:p w14:paraId="7D954D88" w14:textId="77777777" w:rsidR="005B705D" w:rsidRDefault="005B705D">
            <w:pPr>
              <w:rPr>
                <w:b/>
              </w:rPr>
            </w:pPr>
          </w:p>
        </w:tc>
        <w:tc>
          <w:tcPr>
            <w:tcW w:w="2911" w:type="dxa"/>
          </w:tcPr>
          <w:p w14:paraId="63CC647F" w14:textId="77777777" w:rsidR="005B705D" w:rsidRDefault="005B705D">
            <w:pPr>
              <w:rPr>
                <w:b/>
              </w:rPr>
            </w:pPr>
          </w:p>
        </w:tc>
      </w:tr>
      <w:tr w:rsidR="005B705D" w14:paraId="168BF8C8" w14:textId="77777777">
        <w:tc>
          <w:tcPr>
            <w:tcW w:w="3189" w:type="dxa"/>
          </w:tcPr>
          <w:p w14:paraId="12E256CD" w14:textId="77777777" w:rsidR="005B705D" w:rsidRDefault="00000000">
            <w:pPr>
              <w:rPr>
                <w:b/>
              </w:rPr>
            </w:pPr>
            <w:r>
              <w:rPr>
                <w:b/>
              </w:rPr>
              <w:t>Date Issued:</w:t>
            </w:r>
          </w:p>
        </w:tc>
        <w:tc>
          <w:tcPr>
            <w:tcW w:w="1595" w:type="dxa"/>
          </w:tcPr>
          <w:p w14:paraId="1028A54E" w14:textId="77777777" w:rsidR="005B705D" w:rsidRDefault="00000000">
            <w:r>
              <w:t>October 31</w:t>
            </w:r>
            <w:r>
              <w:rPr>
                <w:vertAlign w:val="superscript"/>
              </w:rPr>
              <w:t>st</w:t>
            </w:r>
            <w:r>
              <w:t>, 2025</w:t>
            </w:r>
          </w:p>
        </w:tc>
        <w:tc>
          <w:tcPr>
            <w:tcW w:w="1812" w:type="dxa"/>
          </w:tcPr>
          <w:p w14:paraId="025A68F9" w14:textId="77777777" w:rsidR="005B705D" w:rsidRDefault="005B705D">
            <w:pPr>
              <w:rPr>
                <w:b/>
              </w:rPr>
            </w:pPr>
          </w:p>
        </w:tc>
        <w:tc>
          <w:tcPr>
            <w:tcW w:w="2911" w:type="dxa"/>
          </w:tcPr>
          <w:p w14:paraId="6179BE72" w14:textId="77777777" w:rsidR="005B705D" w:rsidRDefault="005B705D">
            <w:pPr>
              <w:rPr>
                <w:b/>
              </w:rPr>
            </w:pPr>
          </w:p>
        </w:tc>
      </w:tr>
      <w:tr w:rsidR="005B705D" w14:paraId="38F94F21" w14:textId="77777777">
        <w:tc>
          <w:tcPr>
            <w:tcW w:w="3189" w:type="dxa"/>
          </w:tcPr>
          <w:p w14:paraId="12D3C136" w14:textId="77777777" w:rsidR="005B705D" w:rsidRDefault="005B705D">
            <w:pPr>
              <w:rPr>
                <w:b/>
              </w:rPr>
            </w:pPr>
          </w:p>
          <w:p w14:paraId="60A80311" w14:textId="77777777" w:rsidR="005B705D" w:rsidRDefault="00000000">
            <w:pPr>
              <w:rPr>
                <w:b/>
              </w:rPr>
            </w:pPr>
            <w:r>
              <w:rPr>
                <w:b/>
              </w:rPr>
              <w:t>Duties may include:</w:t>
            </w:r>
          </w:p>
        </w:tc>
        <w:tc>
          <w:tcPr>
            <w:tcW w:w="1595" w:type="dxa"/>
          </w:tcPr>
          <w:p w14:paraId="288A83D6" w14:textId="77777777" w:rsidR="005B705D" w:rsidRDefault="005B705D">
            <w:pPr>
              <w:rPr>
                <w:b/>
              </w:rPr>
            </w:pPr>
          </w:p>
        </w:tc>
        <w:tc>
          <w:tcPr>
            <w:tcW w:w="1812" w:type="dxa"/>
          </w:tcPr>
          <w:p w14:paraId="64F0685B" w14:textId="77777777" w:rsidR="005B705D" w:rsidRDefault="005B705D">
            <w:pPr>
              <w:rPr>
                <w:b/>
              </w:rPr>
            </w:pPr>
          </w:p>
        </w:tc>
        <w:tc>
          <w:tcPr>
            <w:tcW w:w="2911" w:type="dxa"/>
          </w:tcPr>
          <w:p w14:paraId="75E04D10" w14:textId="77777777" w:rsidR="005B705D" w:rsidRDefault="005B705D">
            <w:pPr>
              <w:rPr>
                <w:b/>
              </w:rPr>
            </w:pPr>
          </w:p>
        </w:tc>
      </w:tr>
      <w:tr w:rsidR="005B705D" w14:paraId="4D9045B9" w14:textId="77777777">
        <w:tc>
          <w:tcPr>
            <w:tcW w:w="9507" w:type="dxa"/>
            <w:gridSpan w:val="4"/>
          </w:tcPr>
          <w:p w14:paraId="4F5D899E" w14:textId="77777777" w:rsidR="005B705D" w:rsidRDefault="00000000">
            <w:pPr>
              <w:numPr>
                <w:ilvl w:val="0"/>
                <w:numId w:val="1"/>
              </w:numPr>
            </w:pPr>
            <w:r>
              <w:t>Assist in the analysis and evaluation of the Numeracy Achievement Program (NAP), including literature reviews, survey and interviews/focus groups data integration and analysis.</w:t>
            </w:r>
          </w:p>
          <w:p w14:paraId="52754A10" w14:textId="77777777" w:rsidR="005B705D" w:rsidRDefault="00000000">
            <w:pPr>
              <w:numPr>
                <w:ilvl w:val="0"/>
                <w:numId w:val="1"/>
              </w:numPr>
            </w:pPr>
            <w:r>
              <w:t>Assist in preparing articles, publications, reports and presentations.</w:t>
            </w:r>
          </w:p>
          <w:p w14:paraId="78A73594" w14:textId="77777777" w:rsidR="005B705D" w:rsidRDefault="00000000">
            <w:pPr>
              <w:numPr>
                <w:ilvl w:val="0"/>
                <w:numId w:val="1"/>
              </w:numPr>
            </w:pPr>
            <w:r>
              <w:t>Prepare materials for submission to research funding agencies and foundations.</w:t>
            </w:r>
          </w:p>
          <w:p w14:paraId="41BF72F0" w14:textId="77777777" w:rsidR="005B705D" w:rsidRDefault="00000000">
            <w:pPr>
              <w:numPr>
                <w:ilvl w:val="0"/>
                <w:numId w:val="1"/>
              </w:numPr>
            </w:pPr>
            <w:r>
              <w:t>Assist in seeking publication opportunities for the research team.</w:t>
            </w:r>
          </w:p>
          <w:p w14:paraId="68A94AE9" w14:textId="77777777" w:rsidR="005B705D" w:rsidRDefault="00000000">
            <w:pPr>
              <w:numPr>
                <w:ilvl w:val="0"/>
                <w:numId w:val="1"/>
              </w:numPr>
            </w:pPr>
            <w:r>
              <w:t>Maintain communications and outreach to research partners and sponsors.</w:t>
            </w:r>
          </w:p>
          <w:p w14:paraId="41ABB1CC" w14:textId="77777777" w:rsidR="005B705D" w:rsidRDefault="00000000">
            <w:pPr>
              <w:numPr>
                <w:ilvl w:val="0"/>
                <w:numId w:val="1"/>
              </w:numPr>
            </w:pPr>
            <w:r>
              <w:t>Perform other relevant duties as assigned.</w:t>
            </w:r>
          </w:p>
          <w:p w14:paraId="72D0C130" w14:textId="77777777" w:rsidR="005B705D" w:rsidRDefault="005B705D">
            <w:pPr>
              <w:rPr>
                <w:b/>
              </w:rPr>
            </w:pPr>
          </w:p>
        </w:tc>
      </w:tr>
      <w:tr w:rsidR="005B705D" w14:paraId="15A418F8" w14:textId="77777777">
        <w:tc>
          <w:tcPr>
            <w:tcW w:w="3189" w:type="dxa"/>
          </w:tcPr>
          <w:p w14:paraId="32CFAAA4" w14:textId="77777777" w:rsidR="005B705D" w:rsidRDefault="00000000">
            <w:pPr>
              <w:rPr>
                <w:b/>
              </w:rPr>
            </w:pPr>
            <w:r>
              <w:rPr>
                <w:b/>
              </w:rPr>
              <w:t>Qualifications/Experience:</w:t>
            </w:r>
          </w:p>
        </w:tc>
        <w:tc>
          <w:tcPr>
            <w:tcW w:w="1595" w:type="dxa"/>
          </w:tcPr>
          <w:p w14:paraId="63D226A6" w14:textId="77777777" w:rsidR="005B705D" w:rsidRDefault="005B705D">
            <w:pPr>
              <w:rPr>
                <w:b/>
              </w:rPr>
            </w:pPr>
          </w:p>
        </w:tc>
        <w:tc>
          <w:tcPr>
            <w:tcW w:w="1812" w:type="dxa"/>
          </w:tcPr>
          <w:p w14:paraId="10219CAD" w14:textId="77777777" w:rsidR="005B705D" w:rsidRDefault="005B705D">
            <w:pPr>
              <w:rPr>
                <w:b/>
              </w:rPr>
            </w:pPr>
          </w:p>
        </w:tc>
        <w:tc>
          <w:tcPr>
            <w:tcW w:w="2911" w:type="dxa"/>
          </w:tcPr>
          <w:p w14:paraId="748461AD" w14:textId="77777777" w:rsidR="005B705D" w:rsidRDefault="005B705D">
            <w:pPr>
              <w:rPr>
                <w:b/>
              </w:rPr>
            </w:pPr>
          </w:p>
        </w:tc>
      </w:tr>
      <w:tr w:rsidR="005B705D" w14:paraId="1F36B8E8" w14:textId="77777777">
        <w:tc>
          <w:tcPr>
            <w:tcW w:w="9507" w:type="dxa"/>
            <w:gridSpan w:val="4"/>
          </w:tcPr>
          <w:p w14:paraId="535EA3F4" w14:textId="77777777" w:rsidR="005B705D" w:rsidRDefault="00000000">
            <w:pPr>
              <w:numPr>
                <w:ilvl w:val="0"/>
                <w:numId w:val="2"/>
              </w:numPr>
              <w:pBdr>
                <w:top w:val="nil"/>
                <w:left w:val="nil"/>
                <w:bottom w:val="nil"/>
                <w:right w:val="nil"/>
                <w:between w:val="nil"/>
              </w:pBdr>
              <w:spacing w:line="278" w:lineRule="auto"/>
            </w:pPr>
            <w:r>
              <w:rPr>
                <w:color w:val="000000"/>
              </w:rPr>
              <w:t>Be a senior student in the Integrated Program/After Degree Program, or a graduate student in the Faculty of Education, Brandon University.</w:t>
            </w:r>
          </w:p>
          <w:p w14:paraId="70C4BAE1" w14:textId="77777777" w:rsidR="005B705D" w:rsidRDefault="00000000">
            <w:pPr>
              <w:numPr>
                <w:ilvl w:val="0"/>
                <w:numId w:val="2"/>
              </w:numPr>
              <w:pBdr>
                <w:top w:val="nil"/>
                <w:left w:val="nil"/>
                <w:bottom w:val="nil"/>
                <w:right w:val="nil"/>
                <w:between w:val="nil"/>
              </w:pBdr>
              <w:spacing w:line="278" w:lineRule="auto"/>
            </w:pPr>
            <w:r>
              <w:rPr>
                <w:color w:val="000000"/>
              </w:rPr>
              <w:t>Have knowledge of the research process (for example, completed a research methods course or have previous experience as a research assistant).</w:t>
            </w:r>
          </w:p>
          <w:p w14:paraId="46423184" w14:textId="77777777" w:rsidR="005B705D" w:rsidRDefault="00000000">
            <w:pPr>
              <w:numPr>
                <w:ilvl w:val="0"/>
                <w:numId w:val="2"/>
              </w:numPr>
              <w:pBdr>
                <w:top w:val="nil"/>
                <w:left w:val="nil"/>
                <w:bottom w:val="nil"/>
                <w:right w:val="nil"/>
                <w:between w:val="nil"/>
              </w:pBdr>
              <w:spacing w:line="278" w:lineRule="auto"/>
            </w:pPr>
            <w:r>
              <w:rPr>
                <w:color w:val="000000"/>
              </w:rPr>
              <w:t>Have experience conducting a literature review.</w:t>
            </w:r>
          </w:p>
          <w:p w14:paraId="74725E74" w14:textId="77777777" w:rsidR="005B705D" w:rsidRDefault="00000000">
            <w:pPr>
              <w:numPr>
                <w:ilvl w:val="0"/>
                <w:numId w:val="2"/>
              </w:numPr>
              <w:pBdr>
                <w:top w:val="nil"/>
                <w:left w:val="nil"/>
                <w:bottom w:val="nil"/>
                <w:right w:val="nil"/>
                <w:between w:val="nil"/>
              </w:pBdr>
              <w:spacing w:line="278" w:lineRule="auto"/>
            </w:pPr>
            <w:r>
              <w:rPr>
                <w:color w:val="000000"/>
              </w:rPr>
              <w:lastRenderedPageBreak/>
              <w:t>Have excellent verbal and written communication skills.</w:t>
            </w:r>
          </w:p>
          <w:p w14:paraId="629E8F9C" w14:textId="77777777" w:rsidR="005B705D" w:rsidRDefault="00000000">
            <w:pPr>
              <w:numPr>
                <w:ilvl w:val="0"/>
                <w:numId w:val="2"/>
              </w:numPr>
              <w:pBdr>
                <w:top w:val="nil"/>
                <w:left w:val="nil"/>
                <w:bottom w:val="nil"/>
                <w:right w:val="nil"/>
                <w:between w:val="nil"/>
              </w:pBdr>
              <w:spacing w:line="278" w:lineRule="auto"/>
            </w:pPr>
            <w:r>
              <w:rPr>
                <w:color w:val="000000"/>
              </w:rPr>
              <w:t>The ability to work independently.</w:t>
            </w:r>
          </w:p>
          <w:p w14:paraId="77F83D18" w14:textId="77777777" w:rsidR="005B705D" w:rsidRDefault="00000000">
            <w:pPr>
              <w:numPr>
                <w:ilvl w:val="0"/>
                <w:numId w:val="2"/>
              </w:numPr>
              <w:pBdr>
                <w:top w:val="nil"/>
                <w:left w:val="nil"/>
                <w:bottom w:val="nil"/>
                <w:right w:val="nil"/>
                <w:between w:val="nil"/>
              </w:pBdr>
              <w:spacing w:after="160" w:line="278" w:lineRule="auto"/>
            </w:pPr>
            <w:r>
              <w:rPr>
                <w:color w:val="000000"/>
              </w:rPr>
              <w:t>The ability to uphold high standards of confidentiality and privacy.</w:t>
            </w:r>
          </w:p>
          <w:p w14:paraId="094CB15E" w14:textId="77777777" w:rsidR="005B705D" w:rsidRDefault="005B705D"/>
          <w:p w14:paraId="5E3D0923" w14:textId="77777777" w:rsidR="005B705D" w:rsidRDefault="00000000">
            <w:pPr>
              <w:rPr>
                <w:b/>
              </w:rPr>
            </w:pPr>
            <w:r>
              <w:rPr>
                <w:b/>
              </w:rPr>
              <w:t>Working conditions:</w:t>
            </w:r>
          </w:p>
          <w:p w14:paraId="66946113" w14:textId="77777777" w:rsidR="005B705D" w:rsidRDefault="00000000">
            <w:pPr>
              <w:numPr>
                <w:ilvl w:val="0"/>
                <w:numId w:val="3"/>
              </w:numPr>
              <w:pBdr>
                <w:top w:val="nil"/>
                <w:left w:val="nil"/>
                <w:bottom w:val="nil"/>
                <w:right w:val="nil"/>
                <w:between w:val="nil"/>
              </w:pBdr>
              <w:spacing w:line="278" w:lineRule="auto"/>
            </w:pPr>
            <w:r>
              <w:rPr>
                <w:color w:val="000000"/>
              </w:rPr>
              <w:t>Work will be completed both independently and in collaboration with Dr. Gustavo Moura (BU CARES), Donald Nikkel (Executive Director, mRLC), Carolyn Cory (Network Director, mR</w:t>
            </w:r>
            <w:r>
              <w:t>LC</w:t>
            </w:r>
            <w:r>
              <w:rPr>
                <w:color w:val="000000"/>
              </w:rPr>
              <w:t xml:space="preserve"> and Janet Martell (Numeracy Director, mRLC).</w:t>
            </w:r>
          </w:p>
          <w:p w14:paraId="655CFC2D" w14:textId="77777777" w:rsidR="005B705D" w:rsidRDefault="00000000">
            <w:pPr>
              <w:numPr>
                <w:ilvl w:val="0"/>
                <w:numId w:val="3"/>
              </w:numPr>
              <w:pBdr>
                <w:top w:val="nil"/>
                <w:left w:val="nil"/>
                <w:bottom w:val="nil"/>
                <w:right w:val="nil"/>
                <w:between w:val="nil"/>
              </w:pBdr>
              <w:spacing w:line="278" w:lineRule="auto"/>
            </w:pPr>
            <w:r>
              <w:rPr>
                <w:color w:val="000000"/>
              </w:rPr>
              <w:t>Work can be a combination of remote and on site (BU campus in Brandon).</w:t>
            </w:r>
          </w:p>
          <w:p w14:paraId="3B43483A" w14:textId="77777777" w:rsidR="005B705D" w:rsidRDefault="005B705D">
            <w:pPr>
              <w:pBdr>
                <w:top w:val="nil"/>
                <w:left w:val="nil"/>
                <w:bottom w:val="nil"/>
                <w:right w:val="nil"/>
                <w:between w:val="nil"/>
              </w:pBdr>
              <w:spacing w:after="160" w:line="278" w:lineRule="auto"/>
              <w:ind w:left="720"/>
              <w:rPr>
                <w:color w:val="000000"/>
              </w:rPr>
            </w:pPr>
          </w:p>
        </w:tc>
      </w:tr>
      <w:tr w:rsidR="005B705D" w14:paraId="51B59B3A" w14:textId="77777777">
        <w:tc>
          <w:tcPr>
            <w:tcW w:w="3189" w:type="dxa"/>
          </w:tcPr>
          <w:p w14:paraId="11605BF9" w14:textId="77777777" w:rsidR="005B705D" w:rsidRDefault="00000000">
            <w:pPr>
              <w:rPr>
                <w:b/>
              </w:rPr>
            </w:pPr>
            <w:r>
              <w:rPr>
                <w:b/>
              </w:rPr>
              <w:lastRenderedPageBreak/>
              <w:t>To Apply:</w:t>
            </w:r>
          </w:p>
        </w:tc>
        <w:tc>
          <w:tcPr>
            <w:tcW w:w="1595" w:type="dxa"/>
          </w:tcPr>
          <w:p w14:paraId="38B52212" w14:textId="77777777" w:rsidR="005B705D" w:rsidRDefault="005B705D">
            <w:pPr>
              <w:rPr>
                <w:b/>
              </w:rPr>
            </w:pPr>
          </w:p>
        </w:tc>
        <w:tc>
          <w:tcPr>
            <w:tcW w:w="1812" w:type="dxa"/>
          </w:tcPr>
          <w:p w14:paraId="17E8D260" w14:textId="77777777" w:rsidR="005B705D" w:rsidRDefault="005B705D">
            <w:pPr>
              <w:rPr>
                <w:b/>
              </w:rPr>
            </w:pPr>
          </w:p>
        </w:tc>
        <w:tc>
          <w:tcPr>
            <w:tcW w:w="2911" w:type="dxa"/>
          </w:tcPr>
          <w:p w14:paraId="59DB6B70" w14:textId="77777777" w:rsidR="005B705D" w:rsidRDefault="005B705D">
            <w:pPr>
              <w:rPr>
                <w:b/>
              </w:rPr>
            </w:pPr>
          </w:p>
        </w:tc>
      </w:tr>
      <w:tr w:rsidR="005B705D" w14:paraId="1F49A7E6" w14:textId="77777777">
        <w:tc>
          <w:tcPr>
            <w:tcW w:w="9507" w:type="dxa"/>
            <w:gridSpan w:val="4"/>
          </w:tcPr>
          <w:p w14:paraId="3F10DD5B" w14:textId="6225841E" w:rsidR="005B705D" w:rsidRDefault="00000000">
            <w:r>
              <w:t xml:space="preserve">Email a cover letter and resume, including the names of three references to mourag@brandonu.ca by November </w:t>
            </w:r>
            <w:r w:rsidR="00201B49">
              <w:t>5</w:t>
            </w:r>
            <w:r>
              <w:rPr>
                <w:vertAlign w:val="superscript"/>
              </w:rPr>
              <w:t>th</w:t>
            </w:r>
            <w:r>
              <w:t xml:space="preserve">, 2025. </w:t>
            </w:r>
          </w:p>
          <w:p w14:paraId="0508CB5F" w14:textId="77777777" w:rsidR="005B705D" w:rsidRDefault="005B705D"/>
          <w:p w14:paraId="3D6EB0C9" w14:textId="14DBE1CA" w:rsidR="005B705D" w:rsidRDefault="00000000">
            <w:r>
              <w:t xml:space="preserve">Only those considered for the position will be contacted for an interview on November </w:t>
            </w:r>
            <w:r w:rsidR="00201B49">
              <w:t>6</w:t>
            </w:r>
            <w:r>
              <w:rPr>
                <w:vertAlign w:val="superscript"/>
              </w:rPr>
              <w:t>th</w:t>
            </w:r>
            <w:r>
              <w:t>, 2025.</w:t>
            </w:r>
          </w:p>
          <w:p w14:paraId="5A80EE7A" w14:textId="77777777" w:rsidR="005B705D" w:rsidRDefault="005B705D"/>
        </w:tc>
      </w:tr>
      <w:tr w:rsidR="005B705D" w14:paraId="35F9B48F" w14:textId="77777777">
        <w:tc>
          <w:tcPr>
            <w:tcW w:w="9507" w:type="dxa"/>
            <w:gridSpan w:val="4"/>
          </w:tcPr>
          <w:p w14:paraId="67BAD368" w14:textId="77777777" w:rsidR="005B705D" w:rsidRDefault="00000000">
            <w:pPr>
              <w:rPr>
                <w:b/>
              </w:rPr>
            </w:pPr>
            <w:r>
              <w:rPr>
                <w:b/>
              </w:rPr>
              <w:t xml:space="preserve">The Manitoba Rural Learning Consortium (mRLC) and Brandon University’s Centre for Applied Research and Education in Indigenous, Rural, and Remote Settings (BU CARES) are committed to equity, welcome diversity, and hire on the basis of relational accountability and community-defined values. </w:t>
            </w:r>
          </w:p>
          <w:p w14:paraId="054D271C" w14:textId="77777777" w:rsidR="005B705D" w:rsidRDefault="005B705D">
            <w:pPr>
              <w:rPr>
                <w:b/>
              </w:rPr>
            </w:pPr>
          </w:p>
          <w:p w14:paraId="7BE206FB" w14:textId="77777777" w:rsidR="005B705D" w:rsidRDefault="00000000">
            <w:pPr>
              <w:rPr>
                <w:b/>
              </w:rPr>
            </w:pPr>
            <w:r>
              <w:rPr>
                <w:b/>
              </w:rPr>
              <w:t>All qualified individuals who may contribute to the diversification of the institutions, especially women, persons with disabilities, Indigenous persons, racialized persons, and persons of all sexual orientations and genders are encouraged to apply.</w:t>
            </w:r>
          </w:p>
          <w:p w14:paraId="2932B2A9" w14:textId="77777777" w:rsidR="005B705D" w:rsidRDefault="00000000">
            <w:pPr>
              <w:rPr>
                <w:b/>
              </w:rPr>
            </w:pPr>
            <w:r>
              <w:rPr>
                <w:b/>
              </w:rPr>
              <w:br/>
              <w:t>Canadian citizens and permanent residents are given priority. Evidence of citizenship must be provided.</w:t>
            </w:r>
          </w:p>
          <w:p w14:paraId="18FCD164" w14:textId="77777777" w:rsidR="005B705D" w:rsidRDefault="00000000">
            <w:pPr>
              <w:rPr>
                <w:b/>
              </w:rPr>
            </w:pPr>
            <w:r>
              <w:rPr>
                <w:b/>
              </w:rPr>
              <w:br/>
              <w:t xml:space="preserve">We are committed to providing an inclusive and barrier-free work environment. This starts with the hiring process. If you require an accommodation during any phase of the evaluation process, please advise Dr. Gustavo Moura at </w:t>
            </w:r>
            <w:hyperlink r:id="rId6">
              <w:r>
                <w:rPr>
                  <w:b/>
                  <w:color w:val="467886"/>
                  <w:u w:val="single"/>
                </w:rPr>
                <w:t>mourag@brandonu.ca</w:t>
              </w:r>
            </w:hyperlink>
            <w:r>
              <w:rPr>
                <w:b/>
              </w:rPr>
              <w:t>. All information received related to an accommodation is kept confidential. To ensure this employment opportunity is accessible to all interested individuals, this posting is available in an alternate format upon request.</w:t>
            </w:r>
          </w:p>
        </w:tc>
      </w:tr>
    </w:tbl>
    <w:p w14:paraId="47909383" w14:textId="77777777" w:rsidR="005B705D" w:rsidRDefault="005B705D">
      <w:pPr>
        <w:rPr>
          <w:b/>
        </w:rPr>
      </w:pPr>
    </w:p>
    <w:sectPr w:rsidR="005B705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24DCF501-E811-4F2D-BCBF-72E013CE64FB}"/>
    <w:embedBold r:id="rId2" w:fontKey="{FCBF1DA8-9732-49DA-A3AB-9C5256C56664}"/>
    <w:embedItalic r:id="rId3" w:fontKey="{F0F46936-23A8-42DC-8E28-5AA714C3046E}"/>
  </w:font>
  <w:font w:name="Play">
    <w:charset w:val="00"/>
    <w:family w:val="auto"/>
    <w:pitch w:val="default"/>
    <w:embedRegular r:id="rId4" w:fontKey="{39BD9B66-62CB-4C8C-918A-005EA7DC495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8304D7A-ED1B-47CD-B53D-E1435672CEE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929BA"/>
    <w:multiLevelType w:val="multilevel"/>
    <w:tmpl w:val="ECB6A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F253B"/>
    <w:multiLevelType w:val="multilevel"/>
    <w:tmpl w:val="02C20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165A1F"/>
    <w:multiLevelType w:val="multilevel"/>
    <w:tmpl w:val="4B44E5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63698050">
    <w:abstractNumId w:val="2"/>
  </w:num>
  <w:num w:numId="2" w16cid:durableId="946079100">
    <w:abstractNumId w:val="0"/>
  </w:num>
  <w:num w:numId="3" w16cid:durableId="58445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5D"/>
    <w:rsid w:val="00201B49"/>
    <w:rsid w:val="005B705D"/>
    <w:rsid w:val="008736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410F"/>
  <w15:docId w15:val="{72FE366B-B85A-4380-BE7B-4683AC81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72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772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883"/>
    <w:rPr>
      <w:rFonts w:eastAsiaTheme="majorEastAsia" w:cstheme="majorBidi"/>
      <w:color w:val="272727" w:themeColor="text1" w:themeTint="D8"/>
    </w:rPr>
  </w:style>
  <w:style w:type="character" w:customStyle="1" w:styleId="TitleChar">
    <w:name w:val="Title Char"/>
    <w:basedOn w:val="DefaultParagraphFont"/>
    <w:link w:val="Title"/>
    <w:uiPriority w:val="10"/>
    <w:rsid w:val="0077288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72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883"/>
    <w:pPr>
      <w:spacing w:before="160"/>
      <w:jc w:val="center"/>
    </w:pPr>
    <w:rPr>
      <w:i/>
      <w:iCs/>
      <w:color w:val="404040" w:themeColor="text1" w:themeTint="BF"/>
    </w:rPr>
  </w:style>
  <w:style w:type="character" w:customStyle="1" w:styleId="QuoteChar">
    <w:name w:val="Quote Char"/>
    <w:basedOn w:val="DefaultParagraphFont"/>
    <w:link w:val="Quote"/>
    <w:uiPriority w:val="29"/>
    <w:rsid w:val="00772883"/>
    <w:rPr>
      <w:i/>
      <w:iCs/>
      <w:color w:val="404040" w:themeColor="text1" w:themeTint="BF"/>
    </w:rPr>
  </w:style>
  <w:style w:type="paragraph" w:styleId="ListParagraph">
    <w:name w:val="List Paragraph"/>
    <w:basedOn w:val="Normal"/>
    <w:uiPriority w:val="34"/>
    <w:qFormat/>
    <w:rsid w:val="00772883"/>
    <w:pPr>
      <w:ind w:left="720"/>
      <w:contextualSpacing/>
    </w:pPr>
  </w:style>
  <w:style w:type="character" w:styleId="IntenseEmphasis">
    <w:name w:val="Intense Emphasis"/>
    <w:basedOn w:val="DefaultParagraphFont"/>
    <w:uiPriority w:val="21"/>
    <w:qFormat/>
    <w:rsid w:val="00772883"/>
    <w:rPr>
      <w:i/>
      <w:iCs/>
      <w:color w:val="0F4761" w:themeColor="accent1" w:themeShade="BF"/>
    </w:rPr>
  </w:style>
  <w:style w:type="paragraph" w:styleId="IntenseQuote">
    <w:name w:val="Intense Quote"/>
    <w:basedOn w:val="Normal"/>
    <w:next w:val="Normal"/>
    <w:link w:val="IntenseQuoteChar"/>
    <w:uiPriority w:val="30"/>
    <w:qFormat/>
    <w:rsid w:val="00772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883"/>
    <w:rPr>
      <w:i/>
      <w:iCs/>
      <w:color w:val="0F4761" w:themeColor="accent1" w:themeShade="BF"/>
    </w:rPr>
  </w:style>
  <w:style w:type="character" w:styleId="IntenseReference">
    <w:name w:val="Intense Reference"/>
    <w:basedOn w:val="DefaultParagraphFont"/>
    <w:uiPriority w:val="32"/>
    <w:qFormat/>
    <w:rsid w:val="00772883"/>
    <w:rPr>
      <w:b/>
      <w:bCs/>
      <w:smallCaps/>
      <w:color w:val="0F4761" w:themeColor="accent1" w:themeShade="BF"/>
      <w:spacing w:val="5"/>
    </w:rPr>
  </w:style>
  <w:style w:type="table" w:styleId="TableGrid">
    <w:name w:val="Table Grid"/>
    <w:basedOn w:val="TableNormal"/>
    <w:uiPriority w:val="39"/>
    <w:rsid w:val="0077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819"/>
    <w:rPr>
      <w:color w:val="467886" w:themeColor="hyperlink"/>
      <w:u w:val="single"/>
    </w:rPr>
  </w:style>
  <w:style w:type="character" w:styleId="UnresolvedMention">
    <w:name w:val="Unresolved Mention"/>
    <w:basedOn w:val="DefaultParagraphFont"/>
    <w:uiPriority w:val="99"/>
    <w:semiHidden/>
    <w:unhideWhenUsed/>
    <w:rsid w:val="000A3819"/>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urag@brandonu.c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x/J1ZgXu2OAyaRa4qTQcMV7HA==">CgMxLjA4AHIhMXkxbG1nRDFiWVphTXY2c2pwOHpUWlg2N3kzd0cybHR2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da Cunha Moura</dc:creator>
  <cp:lastModifiedBy>Gustavo da Cunha Moura</cp:lastModifiedBy>
  <cp:revision>2</cp:revision>
  <dcterms:created xsi:type="dcterms:W3CDTF">2025-10-29T17:04:00Z</dcterms:created>
  <dcterms:modified xsi:type="dcterms:W3CDTF">2025-10-29T21:45:00Z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0x01010012109A314869844398F9A8B5C5016FFC</vt:lpwstr>
  </property>
</Properties>
</file>